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7CB" w:rsidRDefault="003D67CB" w:rsidP="003D67CB">
      <w:pPr>
        <w:jc w:val="center"/>
        <w:rPr>
          <w:rFonts w:ascii="Arial" w:hAnsi="Arial" w:cs="Arial"/>
          <w:b/>
          <w:sz w:val="24"/>
          <w:szCs w:val="24"/>
          <w:u w:val="single"/>
        </w:rPr>
      </w:pPr>
      <w:r w:rsidRPr="003D67CB">
        <w:rPr>
          <w:rFonts w:ascii="Arial" w:hAnsi="Arial" w:cs="Arial"/>
          <w:b/>
          <w:sz w:val="24"/>
          <w:szCs w:val="24"/>
          <w:u w:val="single"/>
        </w:rPr>
        <w:t>Financial Literacy – Deloittes Checklist</w:t>
      </w:r>
      <w:r>
        <w:rPr>
          <w:rFonts w:ascii="Arial" w:hAnsi="Arial" w:cs="Arial"/>
          <w:b/>
          <w:sz w:val="24"/>
          <w:szCs w:val="24"/>
          <w:u w:val="single"/>
        </w:rPr>
        <w:t xml:space="preserve"> </w:t>
      </w:r>
    </w:p>
    <w:p w:rsidR="00B9231D" w:rsidRDefault="00B9231D" w:rsidP="00B9231D">
      <w:pPr>
        <w:ind w:left="450"/>
        <w:rPr>
          <w:rFonts w:ascii="Arial" w:hAnsi="Arial" w:cs="Arial"/>
        </w:rPr>
      </w:pPr>
    </w:p>
    <w:p w:rsidR="00652A50" w:rsidRDefault="00652A50" w:rsidP="00B9231D">
      <w:pPr>
        <w:ind w:left="450"/>
        <w:rPr>
          <w:rFonts w:ascii="Arial" w:hAnsi="Arial" w:cs="Arial"/>
        </w:rPr>
      </w:pPr>
    </w:p>
    <w:p w:rsidR="009524D2" w:rsidRPr="00B35591" w:rsidRDefault="009524D2" w:rsidP="009524D2">
      <w:pPr>
        <w:rPr>
          <w:rFonts w:ascii="Arial" w:hAnsi="Arial" w:cs="Arial"/>
          <w:sz w:val="24"/>
          <w:szCs w:val="24"/>
        </w:rPr>
      </w:pPr>
      <w:r w:rsidRPr="00B35591">
        <w:rPr>
          <w:rFonts w:ascii="Arial" w:hAnsi="Arial" w:cs="Arial"/>
          <w:sz w:val="24"/>
          <w:szCs w:val="24"/>
        </w:rPr>
        <w:t>Date:__________________</w:t>
      </w:r>
    </w:p>
    <w:p w:rsidR="00652A50" w:rsidRPr="00B35591" w:rsidRDefault="00652A50" w:rsidP="00652A50">
      <w:pPr>
        <w:rPr>
          <w:rFonts w:ascii="Arial" w:hAnsi="Arial" w:cs="Arial"/>
          <w:sz w:val="24"/>
          <w:szCs w:val="24"/>
        </w:rPr>
      </w:pPr>
      <w:r w:rsidRPr="00B35591">
        <w:rPr>
          <w:rFonts w:ascii="Arial" w:hAnsi="Arial" w:cs="Arial"/>
          <w:sz w:val="24"/>
          <w:szCs w:val="24"/>
        </w:rPr>
        <w:t>Name of Director:     ____________________________________________</w:t>
      </w:r>
    </w:p>
    <w:p w:rsidR="00652A50" w:rsidRDefault="00652A50" w:rsidP="00B9231D">
      <w:pPr>
        <w:ind w:left="450"/>
        <w:rPr>
          <w:rFonts w:ascii="Arial" w:hAnsi="Arial" w:cs="Arial"/>
        </w:rPr>
      </w:pPr>
    </w:p>
    <w:p w:rsidR="00B9231D" w:rsidRPr="0042200C" w:rsidRDefault="00B9231D" w:rsidP="00B9231D">
      <w:pPr>
        <w:ind w:left="450"/>
        <w:rPr>
          <w:rFonts w:ascii="Arial" w:hAnsi="Arial" w:cs="Arial"/>
          <w:sz w:val="24"/>
          <w:szCs w:val="24"/>
        </w:rPr>
      </w:pPr>
      <w:r w:rsidRPr="0042200C">
        <w:rPr>
          <w:rFonts w:ascii="Arial" w:hAnsi="Arial" w:cs="Arial"/>
          <w:sz w:val="24"/>
          <w:szCs w:val="24"/>
        </w:rPr>
        <w:t>A director is financially literate if he or she has the ability to read and understand a set of financial statements that present a breadth and level of complexity of accounting issues that are reasonably comparable to the breadth and complexity of the issues that can reasonably be expected to be raised by the issuers financial statements.</w:t>
      </w:r>
      <w:r w:rsidR="009524D2" w:rsidRPr="0042200C">
        <w:rPr>
          <w:rFonts w:ascii="Arial" w:hAnsi="Arial" w:cs="Arial"/>
          <w:sz w:val="24"/>
          <w:szCs w:val="24"/>
        </w:rPr>
        <w:t xml:space="preserve"> </w:t>
      </w:r>
      <w:r w:rsidR="00233C29" w:rsidRPr="0042200C">
        <w:rPr>
          <w:rFonts w:ascii="Arial" w:hAnsi="Arial" w:cs="Arial"/>
          <w:sz w:val="24"/>
          <w:szCs w:val="24"/>
        </w:rPr>
        <w:t>I</w:t>
      </w:r>
      <w:r w:rsidR="009524D2" w:rsidRPr="0042200C">
        <w:rPr>
          <w:rFonts w:ascii="Arial" w:hAnsi="Arial" w:cs="Arial"/>
          <w:sz w:val="24"/>
          <w:szCs w:val="24"/>
        </w:rPr>
        <w:t>t is not necessary f</w:t>
      </w:r>
      <w:r w:rsidR="00233C29" w:rsidRPr="0042200C">
        <w:rPr>
          <w:rFonts w:ascii="Arial" w:hAnsi="Arial" w:cs="Arial"/>
          <w:sz w:val="24"/>
          <w:szCs w:val="24"/>
        </w:rPr>
        <w:t>or</w:t>
      </w:r>
      <w:r w:rsidR="009524D2" w:rsidRPr="0042200C">
        <w:rPr>
          <w:rFonts w:ascii="Arial" w:hAnsi="Arial" w:cs="Arial"/>
          <w:sz w:val="24"/>
          <w:szCs w:val="24"/>
        </w:rPr>
        <w:t xml:space="preserve"> a member to have a comprehensive knowledge of </w:t>
      </w:r>
      <w:r w:rsidR="00614D92">
        <w:rPr>
          <w:rFonts w:ascii="Arial" w:hAnsi="Arial" w:cs="Arial"/>
          <w:sz w:val="24"/>
          <w:szCs w:val="24"/>
        </w:rPr>
        <w:t xml:space="preserve">AIFRS </w:t>
      </w:r>
      <w:r w:rsidR="00614D92" w:rsidRPr="00B35591">
        <w:rPr>
          <w:rFonts w:ascii="Arial" w:hAnsi="Arial" w:cs="Arial"/>
          <w:sz w:val="24"/>
          <w:szCs w:val="24"/>
        </w:rPr>
        <w:t>(Australian International Financial Reporting Standards)</w:t>
      </w:r>
      <w:r w:rsidR="00614D92">
        <w:rPr>
          <w:rFonts w:ascii="Arial" w:hAnsi="Arial" w:cs="Arial"/>
          <w:sz w:val="24"/>
          <w:szCs w:val="24"/>
        </w:rPr>
        <w:t xml:space="preserve"> </w:t>
      </w:r>
      <w:r w:rsidR="009524D2" w:rsidRPr="0042200C">
        <w:rPr>
          <w:rFonts w:ascii="Arial" w:hAnsi="Arial" w:cs="Arial"/>
          <w:sz w:val="24"/>
          <w:szCs w:val="24"/>
        </w:rPr>
        <w:t>to be considered financially literate.</w:t>
      </w:r>
    </w:p>
    <w:p w:rsidR="00B9231D" w:rsidRPr="0042200C" w:rsidRDefault="00B9231D" w:rsidP="00B9231D">
      <w:pPr>
        <w:ind w:left="450"/>
        <w:rPr>
          <w:rFonts w:ascii="Arial" w:hAnsi="Arial" w:cs="Arial"/>
          <w:sz w:val="24"/>
          <w:szCs w:val="24"/>
        </w:rPr>
      </w:pPr>
      <w:r w:rsidRPr="0042200C">
        <w:rPr>
          <w:rFonts w:ascii="Arial" w:hAnsi="Arial" w:cs="Arial"/>
          <w:sz w:val="24"/>
          <w:szCs w:val="24"/>
        </w:rPr>
        <w:t>Some criteria to consider in determining whether</w:t>
      </w:r>
      <w:r w:rsidR="0042200C">
        <w:rPr>
          <w:rFonts w:ascii="Arial" w:hAnsi="Arial" w:cs="Arial"/>
          <w:sz w:val="24"/>
          <w:szCs w:val="24"/>
        </w:rPr>
        <w:t xml:space="preserve"> </w:t>
      </w:r>
      <w:r w:rsidRPr="0042200C">
        <w:rPr>
          <w:rFonts w:ascii="Arial" w:hAnsi="Arial" w:cs="Arial"/>
          <w:sz w:val="24"/>
          <w:szCs w:val="24"/>
        </w:rPr>
        <w:t>or not a member is financially literate include:-</w:t>
      </w:r>
    </w:p>
    <w:p w:rsidR="00B9231D" w:rsidRPr="0042200C" w:rsidRDefault="00B9231D" w:rsidP="00B9231D">
      <w:pPr>
        <w:ind w:left="450"/>
        <w:rPr>
          <w:rFonts w:ascii="Arial" w:hAnsi="Arial" w:cs="Arial"/>
          <w:sz w:val="24"/>
          <w:szCs w:val="24"/>
        </w:rPr>
      </w:pPr>
    </w:p>
    <w:tbl>
      <w:tblPr>
        <w:tblStyle w:val="TableGrid"/>
        <w:tblW w:w="0" w:type="auto"/>
        <w:tblInd w:w="450" w:type="dxa"/>
        <w:tblLook w:val="04A0" w:firstRow="1" w:lastRow="0" w:firstColumn="1" w:lastColumn="0" w:noHBand="0" w:noVBand="1"/>
      </w:tblPr>
      <w:tblGrid>
        <w:gridCol w:w="7130"/>
        <w:gridCol w:w="849"/>
        <w:gridCol w:w="813"/>
      </w:tblGrid>
      <w:tr w:rsidR="00B9231D" w:rsidRPr="0042200C" w:rsidTr="009524D2">
        <w:tc>
          <w:tcPr>
            <w:tcW w:w="7171" w:type="dxa"/>
          </w:tcPr>
          <w:p w:rsidR="00B9231D" w:rsidRPr="0042200C" w:rsidRDefault="00B9231D" w:rsidP="001317D0">
            <w:pPr>
              <w:rPr>
                <w:rFonts w:ascii="Arial" w:hAnsi="Arial" w:cs="Arial"/>
                <w:sz w:val="24"/>
                <w:szCs w:val="24"/>
              </w:rPr>
            </w:pPr>
          </w:p>
        </w:tc>
        <w:tc>
          <w:tcPr>
            <w:tcW w:w="851" w:type="dxa"/>
          </w:tcPr>
          <w:p w:rsidR="00B9231D" w:rsidRPr="0042200C" w:rsidRDefault="00B9231D" w:rsidP="009524D2">
            <w:pPr>
              <w:rPr>
                <w:rFonts w:ascii="Arial" w:hAnsi="Arial" w:cs="Arial"/>
                <w:sz w:val="24"/>
                <w:szCs w:val="24"/>
              </w:rPr>
            </w:pPr>
            <w:r w:rsidRPr="0042200C">
              <w:rPr>
                <w:rFonts w:ascii="Arial" w:hAnsi="Arial" w:cs="Arial"/>
                <w:sz w:val="24"/>
                <w:szCs w:val="24"/>
              </w:rPr>
              <w:t>Yes</w:t>
            </w:r>
          </w:p>
        </w:tc>
        <w:tc>
          <w:tcPr>
            <w:tcW w:w="815" w:type="dxa"/>
          </w:tcPr>
          <w:p w:rsidR="00B9231D" w:rsidRPr="0042200C" w:rsidRDefault="00B9231D" w:rsidP="009524D2">
            <w:pPr>
              <w:rPr>
                <w:rFonts w:ascii="Arial" w:hAnsi="Arial" w:cs="Arial"/>
                <w:sz w:val="24"/>
                <w:szCs w:val="24"/>
              </w:rPr>
            </w:pPr>
            <w:r w:rsidRPr="0042200C">
              <w:rPr>
                <w:rFonts w:ascii="Arial" w:hAnsi="Arial" w:cs="Arial"/>
                <w:sz w:val="24"/>
                <w:szCs w:val="24"/>
              </w:rPr>
              <w:t>No</w:t>
            </w:r>
          </w:p>
        </w:tc>
      </w:tr>
      <w:tr w:rsidR="001317D0" w:rsidRPr="0042200C" w:rsidTr="009524D2">
        <w:tc>
          <w:tcPr>
            <w:tcW w:w="7171" w:type="dxa"/>
          </w:tcPr>
          <w:p w:rsidR="001317D0" w:rsidRPr="0042200C" w:rsidRDefault="001317D0" w:rsidP="001317D0">
            <w:pPr>
              <w:rPr>
                <w:rFonts w:ascii="Arial" w:hAnsi="Arial" w:cs="Arial"/>
                <w:sz w:val="24"/>
                <w:szCs w:val="24"/>
              </w:rPr>
            </w:pPr>
            <w:r w:rsidRPr="0042200C">
              <w:rPr>
                <w:rFonts w:ascii="Arial" w:hAnsi="Arial" w:cs="Arial"/>
                <w:sz w:val="24"/>
                <w:szCs w:val="24"/>
              </w:rPr>
              <w:t xml:space="preserve">The ability to read, understand, and </w:t>
            </w:r>
            <w:r w:rsidR="00CF70A2" w:rsidRPr="0042200C">
              <w:rPr>
                <w:rFonts w:ascii="Arial" w:hAnsi="Arial" w:cs="Arial"/>
                <w:sz w:val="24"/>
                <w:szCs w:val="24"/>
              </w:rPr>
              <w:t>analyse</w:t>
            </w:r>
            <w:r w:rsidRPr="0042200C">
              <w:rPr>
                <w:rFonts w:ascii="Arial" w:hAnsi="Arial" w:cs="Arial"/>
                <w:sz w:val="24"/>
                <w:szCs w:val="24"/>
              </w:rPr>
              <w:t xml:space="preserve"> (in a basic way)</w:t>
            </w:r>
            <w:r w:rsidR="009524D2" w:rsidRPr="0042200C">
              <w:rPr>
                <w:rFonts w:ascii="Arial" w:hAnsi="Arial" w:cs="Arial"/>
                <w:sz w:val="24"/>
                <w:szCs w:val="24"/>
              </w:rPr>
              <w:t xml:space="preserve"> the financial statements and the notes to the financial </w:t>
            </w:r>
            <w:r w:rsidR="008D3536" w:rsidRPr="0042200C">
              <w:rPr>
                <w:rFonts w:ascii="Arial" w:hAnsi="Arial" w:cs="Arial"/>
                <w:sz w:val="24"/>
                <w:szCs w:val="24"/>
              </w:rPr>
              <w:t>statements</w:t>
            </w:r>
            <w:r w:rsidR="009524D2" w:rsidRPr="0042200C">
              <w:rPr>
                <w:rFonts w:ascii="Arial" w:hAnsi="Arial" w:cs="Arial"/>
                <w:sz w:val="24"/>
                <w:szCs w:val="24"/>
              </w:rPr>
              <w:t>.</w:t>
            </w:r>
          </w:p>
          <w:p w:rsidR="001317D0" w:rsidRPr="0042200C" w:rsidRDefault="001317D0" w:rsidP="009524D2">
            <w:pPr>
              <w:rPr>
                <w:rFonts w:ascii="Arial" w:hAnsi="Arial" w:cs="Arial"/>
                <w:sz w:val="24"/>
                <w:szCs w:val="24"/>
              </w:rPr>
            </w:pPr>
          </w:p>
        </w:tc>
        <w:tc>
          <w:tcPr>
            <w:tcW w:w="851" w:type="dxa"/>
          </w:tcPr>
          <w:p w:rsidR="001317D0" w:rsidRPr="0042200C" w:rsidRDefault="001317D0" w:rsidP="009524D2">
            <w:pPr>
              <w:rPr>
                <w:rFonts w:ascii="Arial" w:hAnsi="Arial" w:cs="Arial"/>
                <w:sz w:val="24"/>
                <w:szCs w:val="24"/>
              </w:rPr>
            </w:pPr>
          </w:p>
        </w:tc>
        <w:tc>
          <w:tcPr>
            <w:tcW w:w="815" w:type="dxa"/>
          </w:tcPr>
          <w:p w:rsidR="001317D0" w:rsidRPr="0042200C" w:rsidRDefault="001317D0" w:rsidP="009524D2">
            <w:pPr>
              <w:rPr>
                <w:rFonts w:ascii="Arial" w:hAnsi="Arial" w:cs="Arial"/>
                <w:sz w:val="24"/>
                <w:szCs w:val="24"/>
              </w:rPr>
            </w:pPr>
          </w:p>
        </w:tc>
      </w:tr>
      <w:tr w:rsidR="00B9231D" w:rsidRPr="0042200C" w:rsidTr="009524D2">
        <w:tc>
          <w:tcPr>
            <w:tcW w:w="7171" w:type="dxa"/>
          </w:tcPr>
          <w:p w:rsidR="00B9231D" w:rsidRPr="0042200C" w:rsidRDefault="009524D2" w:rsidP="009524D2">
            <w:pPr>
              <w:rPr>
                <w:rFonts w:ascii="Arial" w:hAnsi="Arial" w:cs="Arial"/>
                <w:sz w:val="24"/>
                <w:szCs w:val="24"/>
              </w:rPr>
            </w:pPr>
            <w:r w:rsidRPr="0042200C">
              <w:rPr>
                <w:rFonts w:ascii="Arial" w:hAnsi="Arial" w:cs="Arial"/>
                <w:sz w:val="24"/>
                <w:szCs w:val="24"/>
              </w:rPr>
              <w:t xml:space="preserve">The ability to understand </w:t>
            </w:r>
            <w:r w:rsidR="00B9231D" w:rsidRPr="0042200C">
              <w:rPr>
                <w:rFonts w:ascii="Arial" w:hAnsi="Arial" w:cs="Arial"/>
                <w:sz w:val="24"/>
                <w:szCs w:val="24"/>
              </w:rPr>
              <w:t>accounting policies</w:t>
            </w:r>
            <w:r w:rsidR="008D3536" w:rsidRPr="0042200C">
              <w:rPr>
                <w:rFonts w:ascii="Arial" w:hAnsi="Arial" w:cs="Arial"/>
                <w:sz w:val="24"/>
                <w:szCs w:val="24"/>
              </w:rPr>
              <w:t>, estimates and judgments when these are explained by management and the external auditor.</w:t>
            </w:r>
          </w:p>
          <w:p w:rsidR="00B9231D" w:rsidRPr="0042200C" w:rsidRDefault="00B9231D" w:rsidP="009524D2">
            <w:pPr>
              <w:rPr>
                <w:rFonts w:ascii="Arial" w:hAnsi="Arial" w:cs="Arial"/>
                <w:sz w:val="24"/>
                <w:szCs w:val="24"/>
              </w:rPr>
            </w:pPr>
          </w:p>
        </w:tc>
        <w:tc>
          <w:tcPr>
            <w:tcW w:w="851" w:type="dxa"/>
          </w:tcPr>
          <w:p w:rsidR="00B9231D" w:rsidRPr="0042200C" w:rsidRDefault="00B9231D" w:rsidP="009524D2">
            <w:pPr>
              <w:rPr>
                <w:rFonts w:ascii="Arial" w:hAnsi="Arial" w:cs="Arial"/>
                <w:sz w:val="24"/>
                <w:szCs w:val="24"/>
              </w:rPr>
            </w:pPr>
          </w:p>
        </w:tc>
        <w:tc>
          <w:tcPr>
            <w:tcW w:w="815" w:type="dxa"/>
          </w:tcPr>
          <w:p w:rsidR="00B9231D" w:rsidRPr="0042200C" w:rsidRDefault="00B9231D" w:rsidP="009524D2">
            <w:pPr>
              <w:rPr>
                <w:rFonts w:ascii="Arial" w:hAnsi="Arial" w:cs="Arial"/>
                <w:sz w:val="24"/>
                <w:szCs w:val="24"/>
              </w:rPr>
            </w:pPr>
          </w:p>
        </w:tc>
      </w:tr>
      <w:tr w:rsidR="00B9231D" w:rsidRPr="0042200C" w:rsidTr="009524D2">
        <w:tc>
          <w:tcPr>
            <w:tcW w:w="7171" w:type="dxa"/>
          </w:tcPr>
          <w:p w:rsidR="00B9231D" w:rsidRPr="0042200C" w:rsidRDefault="00B9231D" w:rsidP="009524D2">
            <w:pPr>
              <w:rPr>
                <w:rFonts w:ascii="Arial" w:hAnsi="Arial" w:cs="Arial"/>
                <w:sz w:val="24"/>
                <w:szCs w:val="24"/>
              </w:rPr>
            </w:pPr>
            <w:r w:rsidRPr="0042200C">
              <w:rPr>
                <w:rFonts w:ascii="Arial" w:hAnsi="Arial" w:cs="Arial"/>
                <w:sz w:val="24"/>
                <w:szCs w:val="24"/>
              </w:rPr>
              <w:t xml:space="preserve">Understand the company’s business </w:t>
            </w:r>
            <w:r w:rsidR="008D3536" w:rsidRPr="0042200C">
              <w:rPr>
                <w:rFonts w:ascii="Arial" w:hAnsi="Arial" w:cs="Arial"/>
                <w:sz w:val="24"/>
                <w:szCs w:val="24"/>
              </w:rPr>
              <w:t xml:space="preserve">and any unique features related to it and its operations that may impact the accounting policies </w:t>
            </w:r>
          </w:p>
          <w:p w:rsidR="00B9231D" w:rsidRPr="0042200C" w:rsidRDefault="00B9231D" w:rsidP="009524D2">
            <w:pPr>
              <w:rPr>
                <w:rFonts w:ascii="Arial" w:hAnsi="Arial" w:cs="Arial"/>
                <w:sz w:val="24"/>
                <w:szCs w:val="24"/>
              </w:rPr>
            </w:pPr>
          </w:p>
        </w:tc>
        <w:tc>
          <w:tcPr>
            <w:tcW w:w="851" w:type="dxa"/>
          </w:tcPr>
          <w:p w:rsidR="00B9231D" w:rsidRPr="0042200C" w:rsidRDefault="00B9231D" w:rsidP="009524D2">
            <w:pPr>
              <w:rPr>
                <w:rFonts w:ascii="Arial" w:hAnsi="Arial" w:cs="Arial"/>
                <w:sz w:val="24"/>
                <w:szCs w:val="24"/>
              </w:rPr>
            </w:pPr>
          </w:p>
        </w:tc>
        <w:tc>
          <w:tcPr>
            <w:tcW w:w="815" w:type="dxa"/>
          </w:tcPr>
          <w:p w:rsidR="00B9231D" w:rsidRPr="0042200C" w:rsidRDefault="00B9231D" w:rsidP="009524D2">
            <w:pPr>
              <w:rPr>
                <w:rFonts w:ascii="Arial" w:hAnsi="Arial" w:cs="Arial"/>
                <w:sz w:val="24"/>
                <w:szCs w:val="24"/>
              </w:rPr>
            </w:pPr>
          </w:p>
        </w:tc>
      </w:tr>
      <w:tr w:rsidR="00B9231D" w:rsidRPr="0042200C" w:rsidTr="009524D2">
        <w:tc>
          <w:tcPr>
            <w:tcW w:w="7171" w:type="dxa"/>
          </w:tcPr>
          <w:p w:rsidR="00B9231D" w:rsidRPr="0042200C" w:rsidRDefault="008D3536" w:rsidP="008D3536">
            <w:pPr>
              <w:rPr>
                <w:rFonts w:ascii="Arial" w:hAnsi="Arial" w:cs="Arial"/>
                <w:sz w:val="24"/>
                <w:szCs w:val="24"/>
              </w:rPr>
            </w:pPr>
            <w:r w:rsidRPr="0042200C">
              <w:rPr>
                <w:rFonts w:ascii="Arial" w:hAnsi="Arial" w:cs="Arial"/>
                <w:sz w:val="24"/>
                <w:szCs w:val="24"/>
              </w:rPr>
              <w:t>A knowledge and understanding of the strategies that have been adopted by the company and the risks inherent in any transformation strategies</w:t>
            </w:r>
          </w:p>
          <w:p w:rsidR="008D3536" w:rsidRPr="0042200C" w:rsidRDefault="008D3536" w:rsidP="008D3536">
            <w:pPr>
              <w:rPr>
                <w:rFonts w:ascii="Arial" w:hAnsi="Arial" w:cs="Arial"/>
                <w:sz w:val="24"/>
                <w:szCs w:val="24"/>
              </w:rPr>
            </w:pPr>
          </w:p>
        </w:tc>
        <w:tc>
          <w:tcPr>
            <w:tcW w:w="851" w:type="dxa"/>
          </w:tcPr>
          <w:p w:rsidR="00B9231D" w:rsidRPr="0042200C" w:rsidRDefault="00B9231D" w:rsidP="009524D2">
            <w:pPr>
              <w:rPr>
                <w:rFonts w:ascii="Arial" w:hAnsi="Arial" w:cs="Arial"/>
                <w:sz w:val="24"/>
                <w:szCs w:val="24"/>
              </w:rPr>
            </w:pPr>
          </w:p>
        </w:tc>
        <w:tc>
          <w:tcPr>
            <w:tcW w:w="815" w:type="dxa"/>
          </w:tcPr>
          <w:p w:rsidR="00B9231D" w:rsidRPr="0042200C" w:rsidRDefault="00B9231D" w:rsidP="009524D2">
            <w:pPr>
              <w:rPr>
                <w:rFonts w:ascii="Arial" w:hAnsi="Arial" w:cs="Arial"/>
                <w:sz w:val="24"/>
                <w:szCs w:val="24"/>
              </w:rPr>
            </w:pPr>
          </w:p>
        </w:tc>
      </w:tr>
      <w:tr w:rsidR="008D3536" w:rsidRPr="0042200C" w:rsidTr="009524D2">
        <w:tc>
          <w:tcPr>
            <w:tcW w:w="7171" w:type="dxa"/>
          </w:tcPr>
          <w:p w:rsidR="008D3536" w:rsidRPr="0042200C" w:rsidRDefault="008D3536" w:rsidP="008D3536">
            <w:pPr>
              <w:rPr>
                <w:rFonts w:ascii="Arial" w:hAnsi="Arial" w:cs="Arial"/>
                <w:sz w:val="24"/>
                <w:szCs w:val="24"/>
              </w:rPr>
            </w:pPr>
            <w:r w:rsidRPr="0042200C">
              <w:rPr>
                <w:rFonts w:ascii="Arial" w:hAnsi="Arial" w:cs="Arial"/>
                <w:sz w:val="24"/>
                <w:szCs w:val="24"/>
              </w:rPr>
              <w:t>An ability to understand the company’s risk environment</w:t>
            </w:r>
          </w:p>
          <w:p w:rsidR="008D3536" w:rsidRPr="0042200C" w:rsidRDefault="008D3536" w:rsidP="008D3536">
            <w:pPr>
              <w:rPr>
                <w:rFonts w:ascii="Arial" w:hAnsi="Arial" w:cs="Arial"/>
                <w:sz w:val="24"/>
                <w:szCs w:val="24"/>
              </w:rPr>
            </w:pPr>
          </w:p>
        </w:tc>
        <w:tc>
          <w:tcPr>
            <w:tcW w:w="851" w:type="dxa"/>
          </w:tcPr>
          <w:p w:rsidR="008D3536" w:rsidRPr="0042200C" w:rsidRDefault="008D3536" w:rsidP="009524D2">
            <w:pPr>
              <w:rPr>
                <w:rFonts w:ascii="Arial" w:hAnsi="Arial" w:cs="Arial"/>
                <w:sz w:val="24"/>
                <w:szCs w:val="24"/>
              </w:rPr>
            </w:pPr>
          </w:p>
        </w:tc>
        <w:tc>
          <w:tcPr>
            <w:tcW w:w="815" w:type="dxa"/>
          </w:tcPr>
          <w:p w:rsidR="008D3536" w:rsidRPr="0042200C" w:rsidRDefault="008D3536" w:rsidP="009524D2">
            <w:pPr>
              <w:rPr>
                <w:rFonts w:ascii="Arial" w:hAnsi="Arial" w:cs="Arial"/>
                <w:sz w:val="24"/>
                <w:szCs w:val="24"/>
              </w:rPr>
            </w:pPr>
          </w:p>
        </w:tc>
      </w:tr>
    </w:tbl>
    <w:p w:rsidR="003D67CB" w:rsidRDefault="003D67CB" w:rsidP="00A51905">
      <w:pPr>
        <w:rPr>
          <w:rFonts w:ascii="Arial" w:hAnsi="Arial" w:cs="Arial"/>
          <w:b/>
          <w:sz w:val="24"/>
          <w:szCs w:val="24"/>
          <w:u w:val="single"/>
        </w:rPr>
      </w:pPr>
    </w:p>
    <w:sectPr w:rsidR="003D67CB" w:rsidSect="00D73B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4D2" w:rsidRDefault="009524D2" w:rsidP="000B026C">
      <w:pPr>
        <w:spacing w:after="0" w:line="240" w:lineRule="auto"/>
      </w:pPr>
      <w:r>
        <w:separator/>
      </w:r>
    </w:p>
  </w:endnote>
  <w:endnote w:type="continuationSeparator" w:id="0">
    <w:p w:rsidR="009524D2" w:rsidRDefault="009524D2" w:rsidP="000B0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EFE" w:rsidRDefault="00841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4D2" w:rsidRDefault="009524D2">
    <w:pPr>
      <w:pStyle w:val="Footer"/>
    </w:pPr>
    <w:bookmarkStart w:id="0" w:name="_GoBack"/>
    <w:bookmarkEnd w:id="0"/>
  </w:p>
  <w:p w:rsidR="009524D2" w:rsidRDefault="00952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EFE" w:rsidRDefault="00841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4D2" w:rsidRDefault="009524D2" w:rsidP="000B026C">
      <w:pPr>
        <w:spacing w:after="0" w:line="240" w:lineRule="auto"/>
      </w:pPr>
      <w:r>
        <w:separator/>
      </w:r>
    </w:p>
  </w:footnote>
  <w:footnote w:type="continuationSeparator" w:id="0">
    <w:p w:rsidR="009524D2" w:rsidRDefault="009524D2" w:rsidP="000B0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EFE" w:rsidRDefault="00841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EFE" w:rsidRDefault="00841E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EFE" w:rsidRDefault="00841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53938"/>
    <w:multiLevelType w:val="hybridMultilevel"/>
    <w:tmpl w:val="6DE6A492"/>
    <w:lvl w:ilvl="0" w:tplc="0C090001">
      <w:start w:val="1"/>
      <w:numFmt w:val="bullet"/>
      <w:lvlText w:val=""/>
      <w:lvlJc w:val="left"/>
      <w:pPr>
        <w:ind w:left="1170" w:hanging="360"/>
      </w:pPr>
      <w:rPr>
        <w:rFonts w:ascii="Symbol" w:hAnsi="Symbol" w:hint="default"/>
      </w:rPr>
    </w:lvl>
    <w:lvl w:ilvl="1" w:tplc="0C090003" w:tentative="1">
      <w:start w:val="1"/>
      <w:numFmt w:val="bullet"/>
      <w:lvlText w:val="o"/>
      <w:lvlJc w:val="left"/>
      <w:pPr>
        <w:ind w:left="1890" w:hanging="360"/>
      </w:pPr>
      <w:rPr>
        <w:rFonts w:ascii="Courier New" w:hAnsi="Courier New" w:cs="Courier New" w:hint="default"/>
      </w:rPr>
    </w:lvl>
    <w:lvl w:ilvl="2" w:tplc="0C090005" w:tentative="1">
      <w:start w:val="1"/>
      <w:numFmt w:val="bullet"/>
      <w:lvlText w:val=""/>
      <w:lvlJc w:val="left"/>
      <w:pPr>
        <w:ind w:left="2610" w:hanging="360"/>
      </w:pPr>
      <w:rPr>
        <w:rFonts w:ascii="Wingdings" w:hAnsi="Wingdings" w:hint="default"/>
      </w:rPr>
    </w:lvl>
    <w:lvl w:ilvl="3" w:tplc="0C090001" w:tentative="1">
      <w:start w:val="1"/>
      <w:numFmt w:val="bullet"/>
      <w:lvlText w:val=""/>
      <w:lvlJc w:val="left"/>
      <w:pPr>
        <w:ind w:left="3330" w:hanging="360"/>
      </w:pPr>
      <w:rPr>
        <w:rFonts w:ascii="Symbol" w:hAnsi="Symbol" w:hint="default"/>
      </w:rPr>
    </w:lvl>
    <w:lvl w:ilvl="4" w:tplc="0C090003" w:tentative="1">
      <w:start w:val="1"/>
      <w:numFmt w:val="bullet"/>
      <w:lvlText w:val="o"/>
      <w:lvlJc w:val="left"/>
      <w:pPr>
        <w:ind w:left="4050" w:hanging="360"/>
      </w:pPr>
      <w:rPr>
        <w:rFonts w:ascii="Courier New" w:hAnsi="Courier New" w:cs="Courier New" w:hint="default"/>
      </w:rPr>
    </w:lvl>
    <w:lvl w:ilvl="5" w:tplc="0C090005" w:tentative="1">
      <w:start w:val="1"/>
      <w:numFmt w:val="bullet"/>
      <w:lvlText w:val=""/>
      <w:lvlJc w:val="left"/>
      <w:pPr>
        <w:ind w:left="4770" w:hanging="360"/>
      </w:pPr>
      <w:rPr>
        <w:rFonts w:ascii="Wingdings" w:hAnsi="Wingdings" w:hint="default"/>
      </w:rPr>
    </w:lvl>
    <w:lvl w:ilvl="6" w:tplc="0C090001" w:tentative="1">
      <w:start w:val="1"/>
      <w:numFmt w:val="bullet"/>
      <w:lvlText w:val=""/>
      <w:lvlJc w:val="left"/>
      <w:pPr>
        <w:ind w:left="5490" w:hanging="360"/>
      </w:pPr>
      <w:rPr>
        <w:rFonts w:ascii="Symbol" w:hAnsi="Symbol" w:hint="default"/>
      </w:rPr>
    </w:lvl>
    <w:lvl w:ilvl="7" w:tplc="0C090003" w:tentative="1">
      <w:start w:val="1"/>
      <w:numFmt w:val="bullet"/>
      <w:lvlText w:val="o"/>
      <w:lvlJc w:val="left"/>
      <w:pPr>
        <w:ind w:left="6210" w:hanging="360"/>
      </w:pPr>
      <w:rPr>
        <w:rFonts w:ascii="Courier New" w:hAnsi="Courier New" w:cs="Courier New" w:hint="default"/>
      </w:rPr>
    </w:lvl>
    <w:lvl w:ilvl="8" w:tplc="0C090005" w:tentative="1">
      <w:start w:val="1"/>
      <w:numFmt w:val="bullet"/>
      <w:lvlText w:val=""/>
      <w:lvlJc w:val="left"/>
      <w:pPr>
        <w:ind w:left="69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67CB"/>
    <w:rsid w:val="000434E9"/>
    <w:rsid w:val="000B026C"/>
    <w:rsid w:val="001317D0"/>
    <w:rsid w:val="0016244B"/>
    <w:rsid w:val="00182573"/>
    <w:rsid w:val="001B2261"/>
    <w:rsid w:val="00233C29"/>
    <w:rsid w:val="00293A43"/>
    <w:rsid w:val="003D67CB"/>
    <w:rsid w:val="0042200C"/>
    <w:rsid w:val="004900D1"/>
    <w:rsid w:val="00614D92"/>
    <w:rsid w:val="00652A50"/>
    <w:rsid w:val="00696064"/>
    <w:rsid w:val="00790712"/>
    <w:rsid w:val="00841EFE"/>
    <w:rsid w:val="008D3536"/>
    <w:rsid w:val="009524D2"/>
    <w:rsid w:val="00966574"/>
    <w:rsid w:val="009C2E0C"/>
    <w:rsid w:val="00A51905"/>
    <w:rsid w:val="00B70C0F"/>
    <w:rsid w:val="00B9231D"/>
    <w:rsid w:val="00B9659F"/>
    <w:rsid w:val="00CF70A2"/>
    <w:rsid w:val="00D73B96"/>
    <w:rsid w:val="00D96E14"/>
    <w:rsid w:val="00E60E2C"/>
    <w:rsid w:val="00F04D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26B773-F165-4666-A097-26E635A4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26C"/>
  </w:style>
  <w:style w:type="paragraph" w:styleId="Footer">
    <w:name w:val="footer"/>
    <w:basedOn w:val="Normal"/>
    <w:link w:val="FooterChar"/>
    <w:uiPriority w:val="99"/>
    <w:unhideWhenUsed/>
    <w:rsid w:val="000B0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26C"/>
  </w:style>
  <w:style w:type="paragraph" w:styleId="BalloonText">
    <w:name w:val="Balloon Text"/>
    <w:basedOn w:val="Normal"/>
    <w:link w:val="BalloonTextChar"/>
    <w:uiPriority w:val="99"/>
    <w:semiHidden/>
    <w:unhideWhenUsed/>
    <w:rsid w:val="000B0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26C"/>
    <w:rPr>
      <w:rFonts w:ascii="Tahoma" w:hAnsi="Tahoma" w:cs="Tahoma"/>
      <w:sz w:val="16"/>
      <w:szCs w:val="16"/>
    </w:rPr>
  </w:style>
  <w:style w:type="table" w:styleId="TableGrid">
    <w:name w:val="Table Grid"/>
    <w:basedOn w:val="TableNormal"/>
    <w:rsid w:val="00B9231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AF0CD4A759D4589C939D7C5CA7E08" ma:contentTypeVersion="13" ma:contentTypeDescription="Create a new document." ma:contentTypeScope="" ma:versionID="dd1fa2ff97c04400e86977be5b962be7">
  <xsd:schema xmlns:xsd="http://www.w3.org/2001/XMLSchema" xmlns:xs="http://www.w3.org/2001/XMLSchema" xmlns:p="http://schemas.microsoft.com/office/2006/metadata/properties" xmlns:ns2="733f7897-3f39-4b82-8b13-ea57de887db7" xmlns:ns3="aa1fd152-3eed-41a8-af40-69e26f288956" targetNamespace="http://schemas.microsoft.com/office/2006/metadata/properties" ma:root="true" ma:fieldsID="7c52f57817413115ff10b73f5d410492" ns2:_="" ns3:_="">
    <xsd:import namespace="733f7897-3f39-4b82-8b13-ea57de887db7"/>
    <xsd:import namespace="aa1fd152-3eed-41a8-af40-69e26f2889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f7897-3f39-4b82-8b13-ea57de887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0f3cf2-fd7e-4ec6-91aa-307153bea6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1fd152-3eed-41a8-af40-69e26f2889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8ae01c-62f0-4128-9d40-435dfc1df3cf}" ma:internalName="TaxCatchAll" ma:showField="CatchAllData" ma:web="aa1fd152-3eed-41a8-af40-69e26f288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1fd152-3eed-41a8-af40-69e26f288956" xsi:nil="true"/>
    <lcf76f155ced4ddcb4097134ff3c332f xmlns="733f7897-3f39-4b82-8b13-ea57de887d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E2988-C7B0-41C5-A5C7-E720BDA214D7}"/>
</file>

<file path=customXml/itemProps2.xml><?xml version="1.0" encoding="utf-8"?>
<ds:datastoreItem xmlns:ds="http://schemas.openxmlformats.org/officeDocument/2006/customXml" ds:itemID="{A095B26D-7298-459A-8549-BEAF128F425B}"/>
</file>

<file path=customXml/itemProps3.xml><?xml version="1.0" encoding="utf-8"?>
<ds:datastoreItem xmlns:ds="http://schemas.openxmlformats.org/officeDocument/2006/customXml" ds:itemID="{C4A10808-90AD-4F06-9784-581F796A9037}"/>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TAS Managed Services</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ocuwiltond</dc:creator>
  <cp:lastModifiedBy>Michelle Johnson</cp:lastModifiedBy>
  <cp:revision>3</cp:revision>
  <cp:lastPrinted>2012-01-16T01:31:00Z</cp:lastPrinted>
  <dcterms:created xsi:type="dcterms:W3CDTF">2012-07-12T00:15:00Z</dcterms:created>
  <dcterms:modified xsi:type="dcterms:W3CDTF">2023-08-17T07:04:00Z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0x01010049CAF0CD4A759D4589C939D7C5CA7E08</vt:lpwstr>
  </property>
  <property fmtid="{D5CDD505-2E9C-101B-9397-08002B2CF9AE}" pid="3" name="Order">
    <vt:r8>424600</vt:r8>
  </property>
</Properties>
</file>